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363" w:rsidRPr="00C733B3" w:rsidRDefault="00DD3510" w:rsidP="00C733B3">
      <w:pPr>
        <w:tabs>
          <w:tab w:val="left" w:pos="7292"/>
        </w:tabs>
        <w:jc w:val="center"/>
        <w:rPr>
          <w:rFonts w:ascii="Arial" w:hAnsi="Arial" w:cs="Arial"/>
          <w:b/>
          <w:lang w:val="es-ES"/>
        </w:rPr>
      </w:pPr>
      <w:r>
        <w:rPr>
          <w:noProof/>
          <w:lang w:val="es-E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-662182</wp:posOffset>
            </wp:positionV>
            <wp:extent cx="2575538" cy="1087542"/>
            <wp:effectExtent l="0" t="0" r="0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38" cy="10875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B3">
        <w:rPr>
          <w:rFonts w:ascii="Arial" w:hAnsi="Arial" w:cs="Arial"/>
          <w:b/>
          <w:lang w:val="es-ES"/>
        </w:rPr>
        <w:t xml:space="preserve"> </w:t>
      </w: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Pr="00162CC1" w:rsidRDefault="001D7A13">
      <w:pPr>
        <w:jc w:val="center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  <w:color w:val="000000"/>
        </w:rPr>
        <w:t xml:space="preserve">En 5 años el Grupo ha doblado su facturación </w:t>
      </w:r>
      <w:r w:rsidR="009E5304">
        <w:rPr>
          <w:rFonts w:ascii="Arial" w:eastAsia="Calibri" w:hAnsi="Arial" w:cs="Arial"/>
          <w:b/>
          <w:color w:val="000000"/>
        </w:rPr>
        <w:t xml:space="preserve"> </w:t>
      </w:r>
    </w:p>
    <w:p w:rsidR="0046124A" w:rsidRPr="00162CC1" w:rsidRDefault="0046124A">
      <w:pPr>
        <w:jc w:val="center"/>
        <w:rPr>
          <w:rFonts w:ascii="Arial" w:hAnsi="Arial" w:cs="Arial"/>
          <w:b/>
          <w:spacing w:val="-8"/>
          <w:sz w:val="28"/>
          <w:szCs w:val="28"/>
        </w:rPr>
      </w:pPr>
    </w:p>
    <w:p w:rsidR="00307363" w:rsidRPr="00162CC1" w:rsidRDefault="001D7A13" w:rsidP="001D7A13">
      <w:pPr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>HM HOSPITALES VUELVE A CRECER A DOBLE DÍGITO EN 2018 AL INGRESAR 415 MILLONES DE EUROS, UN 14,</w:t>
      </w:r>
      <w:r w:rsidR="002E12E7">
        <w:rPr>
          <w:rFonts w:ascii="Arial" w:hAnsi="Arial" w:cs="Arial"/>
          <w:b/>
          <w:spacing w:val="-8"/>
          <w:sz w:val="28"/>
          <w:szCs w:val="28"/>
        </w:rPr>
        <w:t>4</w:t>
      </w:r>
      <w:r>
        <w:rPr>
          <w:rFonts w:ascii="Arial" w:hAnsi="Arial" w:cs="Arial"/>
          <w:b/>
          <w:spacing w:val="-8"/>
          <w:sz w:val="28"/>
          <w:szCs w:val="28"/>
        </w:rPr>
        <w:t>% MÁS QUE EL EJERCICIO ANTERIOR</w:t>
      </w:r>
    </w:p>
    <w:p w:rsidR="00307363" w:rsidRPr="00162CC1" w:rsidRDefault="00307363" w:rsidP="006B053F">
      <w:pPr>
        <w:pStyle w:val="normaltextonoticia"/>
        <w:spacing w:before="0" w:after="0"/>
        <w:jc w:val="both"/>
        <w:rPr>
          <w:sz w:val="24"/>
        </w:rPr>
      </w:pPr>
    </w:p>
    <w:p w:rsidR="00BD0E4F" w:rsidRDefault="00BD0E4F" w:rsidP="00BD0E4F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307363" w:rsidRPr="00162CC1" w:rsidRDefault="00BD0E4F" w:rsidP="00F52DC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Destaca especialmente el fuerte crecimiento en Madrid que ha superado la barrera de los 300 millones de euros en ingresos </w:t>
      </w:r>
      <w:r w:rsidR="00154572">
        <w:rPr>
          <w:spacing w:val="-4"/>
          <w:sz w:val="24"/>
          <w:szCs w:val="24"/>
        </w:rPr>
        <w:t xml:space="preserve"> </w:t>
      </w:r>
    </w:p>
    <w:p w:rsidR="003824B8" w:rsidRPr="00162CC1" w:rsidRDefault="003824B8" w:rsidP="00F52DC8">
      <w:pPr>
        <w:pStyle w:val="Prrafodelista"/>
        <w:ind w:left="0"/>
        <w:rPr>
          <w:spacing w:val="-4"/>
        </w:rPr>
      </w:pPr>
    </w:p>
    <w:p w:rsidR="003824B8" w:rsidRDefault="00154572" w:rsidP="00F52DC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Durante 2018 el Grupo ha incorporado HM Delfos de Barcelona a su red de hospitales y ha iniciado un plan de inversión de 30 millon</w:t>
      </w:r>
      <w:r w:rsidR="001B46B5">
        <w:rPr>
          <w:spacing w:val="-4"/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s de euros </w:t>
      </w:r>
      <w:r w:rsidR="00BD0E4F">
        <w:rPr>
          <w:spacing w:val="-4"/>
          <w:sz w:val="24"/>
          <w:szCs w:val="24"/>
        </w:rPr>
        <w:t>para remodelar instalaciones, adquirir tecnología sanitaria puntera y equipos profesionales de primer nivel</w:t>
      </w:r>
      <w:r>
        <w:rPr>
          <w:spacing w:val="-4"/>
          <w:sz w:val="24"/>
          <w:szCs w:val="24"/>
        </w:rPr>
        <w:t xml:space="preserve"> </w:t>
      </w:r>
    </w:p>
    <w:p w:rsidR="00303D27" w:rsidRDefault="00303D27" w:rsidP="00E36D5A">
      <w:pPr>
        <w:pStyle w:val="Prrafodelista"/>
        <w:rPr>
          <w:spacing w:val="-4"/>
        </w:rPr>
      </w:pPr>
    </w:p>
    <w:p w:rsidR="00303D27" w:rsidRDefault="00303D27" w:rsidP="00303D27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El EBITDA normalizado generado alcanzó los 61 millones de euros</w:t>
      </w:r>
      <w:r w:rsidR="00DE676E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mientras que la inversión </w:t>
      </w:r>
      <w:r w:rsidR="009F0976">
        <w:rPr>
          <w:spacing w:val="-4"/>
          <w:sz w:val="24"/>
          <w:szCs w:val="24"/>
        </w:rPr>
        <w:t xml:space="preserve">en mejora de equipos e instalaciones </w:t>
      </w:r>
      <w:r>
        <w:rPr>
          <w:spacing w:val="-4"/>
          <w:sz w:val="24"/>
          <w:szCs w:val="24"/>
        </w:rPr>
        <w:t xml:space="preserve">se situó en 22,4 millones de euros  </w:t>
      </w:r>
    </w:p>
    <w:p w:rsidR="00BB4788" w:rsidRPr="00E36D5A" w:rsidRDefault="00BB4788" w:rsidP="00E36D5A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307363" w:rsidRPr="00162CC1" w:rsidRDefault="00307363">
      <w:pPr>
        <w:pStyle w:val="normaltextonoticia"/>
        <w:spacing w:before="0" w:after="0"/>
        <w:jc w:val="both"/>
        <w:rPr>
          <w:sz w:val="24"/>
        </w:rPr>
      </w:pPr>
    </w:p>
    <w:p w:rsidR="00BD0E4F" w:rsidRDefault="00307363" w:rsidP="00BD0E4F">
      <w:pPr>
        <w:jc w:val="both"/>
        <w:rPr>
          <w:rFonts w:ascii="Arial" w:hAnsi="Arial" w:cs="Arial"/>
        </w:rPr>
      </w:pPr>
      <w:r w:rsidRPr="00162CC1">
        <w:rPr>
          <w:rFonts w:ascii="Arial" w:hAnsi="Arial" w:cs="Arial"/>
          <w:b/>
        </w:rPr>
        <w:t xml:space="preserve">Madrid, </w:t>
      </w:r>
      <w:r w:rsidR="00D22B0F">
        <w:rPr>
          <w:rFonts w:ascii="Arial" w:hAnsi="Arial" w:cs="Arial"/>
          <w:b/>
        </w:rPr>
        <w:t>2</w:t>
      </w:r>
      <w:r w:rsidR="00AB34AC">
        <w:rPr>
          <w:rFonts w:ascii="Arial" w:hAnsi="Arial" w:cs="Arial"/>
          <w:b/>
        </w:rPr>
        <w:t>4</w:t>
      </w:r>
      <w:r w:rsidRPr="00162CC1">
        <w:rPr>
          <w:rFonts w:ascii="Arial" w:hAnsi="Arial" w:cs="Arial"/>
          <w:b/>
        </w:rPr>
        <w:t xml:space="preserve"> de </w:t>
      </w:r>
      <w:r w:rsidR="007800F0" w:rsidRPr="00162CC1">
        <w:rPr>
          <w:rFonts w:ascii="Arial" w:hAnsi="Arial" w:cs="Arial"/>
          <w:b/>
        </w:rPr>
        <w:t>abril</w:t>
      </w:r>
      <w:r w:rsidRPr="00162CC1">
        <w:rPr>
          <w:rFonts w:ascii="Arial" w:hAnsi="Arial" w:cs="Arial"/>
          <w:b/>
        </w:rPr>
        <w:t xml:space="preserve"> de 2019.-</w:t>
      </w:r>
      <w:r w:rsidR="00162CC1">
        <w:rPr>
          <w:rFonts w:ascii="Arial" w:hAnsi="Arial" w:cs="Arial"/>
        </w:rPr>
        <w:t xml:space="preserve"> </w:t>
      </w:r>
      <w:r w:rsidR="00BD0E4F">
        <w:rPr>
          <w:rFonts w:ascii="Arial" w:hAnsi="Arial" w:cs="Arial"/>
        </w:rPr>
        <w:t>HM Hospitales cerró 2018 en términos financieros con un crecimiento en su facturación del 14,</w:t>
      </w:r>
      <w:r w:rsidR="002E12E7">
        <w:rPr>
          <w:rFonts w:ascii="Arial" w:hAnsi="Arial" w:cs="Arial"/>
        </w:rPr>
        <w:t>4</w:t>
      </w:r>
      <w:r w:rsidR="00BD0E4F">
        <w:rPr>
          <w:rFonts w:ascii="Arial" w:hAnsi="Arial" w:cs="Arial"/>
        </w:rPr>
        <w:t xml:space="preserve">% </w:t>
      </w:r>
      <w:r w:rsidR="00BB4788">
        <w:rPr>
          <w:rFonts w:ascii="Arial" w:hAnsi="Arial" w:cs="Arial"/>
        </w:rPr>
        <w:t>comparado con</w:t>
      </w:r>
      <w:r w:rsidR="00BD0E4F">
        <w:rPr>
          <w:rFonts w:ascii="Arial" w:hAnsi="Arial" w:cs="Arial"/>
        </w:rPr>
        <w:t xml:space="preserve"> 2017 gracias a los 415,</w:t>
      </w:r>
      <w:r w:rsidR="002E12E7">
        <w:rPr>
          <w:rFonts w:ascii="Arial" w:hAnsi="Arial" w:cs="Arial"/>
        </w:rPr>
        <w:t>2</w:t>
      </w:r>
      <w:r w:rsidR="00BD0E4F">
        <w:rPr>
          <w:rFonts w:ascii="Arial" w:hAnsi="Arial" w:cs="Arial"/>
        </w:rPr>
        <w:t xml:space="preserve"> millones de euros en ingresos que han registrado las distintas actividades económicas del Grupo</w:t>
      </w:r>
      <w:r w:rsidR="00BB4788">
        <w:rPr>
          <w:rFonts w:ascii="Arial" w:hAnsi="Arial" w:cs="Arial"/>
        </w:rPr>
        <w:t>, mientras que l</w:t>
      </w:r>
      <w:r w:rsidR="00645797">
        <w:rPr>
          <w:rFonts w:ascii="Arial" w:hAnsi="Arial" w:cs="Arial"/>
        </w:rPr>
        <w:t xml:space="preserve">a facturación </w:t>
      </w:r>
      <w:r w:rsidR="00BB4788">
        <w:rPr>
          <w:rFonts w:ascii="Arial" w:hAnsi="Arial" w:cs="Arial"/>
        </w:rPr>
        <w:t xml:space="preserve">en </w:t>
      </w:r>
      <w:r w:rsidR="00645797">
        <w:rPr>
          <w:rFonts w:ascii="Arial" w:hAnsi="Arial" w:cs="Arial"/>
        </w:rPr>
        <w:t>el pasado ejercicio alcanzó los 36</w:t>
      </w:r>
      <w:r w:rsidR="002E12E7">
        <w:rPr>
          <w:rFonts w:ascii="Arial" w:hAnsi="Arial" w:cs="Arial"/>
        </w:rPr>
        <w:t>3</w:t>
      </w:r>
      <w:r w:rsidR="00645797">
        <w:rPr>
          <w:rFonts w:ascii="Arial" w:hAnsi="Arial" w:cs="Arial"/>
        </w:rPr>
        <w:t xml:space="preserve"> millones de euros.</w:t>
      </w:r>
      <w:r w:rsidR="009F0976">
        <w:rPr>
          <w:rFonts w:ascii="Arial" w:hAnsi="Arial" w:cs="Arial"/>
        </w:rPr>
        <w:t xml:space="preserve"> </w:t>
      </w:r>
    </w:p>
    <w:p w:rsidR="00BD0E4F" w:rsidRDefault="00BD0E4F" w:rsidP="00BD0E4F">
      <w:pPr>
        <w:jc w:val="both"/>
        <w:rPr>
          <w:rFonts w:ascii="Arial" w:hAnsi="Arial" w:cs="Arial"/>
        </w:rPr>
      </w:pPr>
    </w:p>
    <w:p w:rsidR="00FA22E0" w:rsidRDefault="005C65BE" w:rsidP="00703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el </w:t>
      </w:r>
      <w:r w:rsidR="002E12E7">
        <w:rPr>
          <w:rFonts w:ascii="Arial" w:hAnsi="Arial" w:cs="Arial"/>
        </w:rPr>
        <w:t>EBITDA</w:t>
      </w:r>
      <w:r w:rsidR="00E36D5A">
        <w:rPr>
          <w:rFonts w:ascii="Arial" w:hAnsi="Arial" w:cs="Arial"/>
        </w:rPr>
        <w:t xml:space="preserve"> </w:t>
      </w:r>
      <w:r w:rsidR="00F77E7D">
        <w:rPr>
          <w:rFonts w:ascii="Arial" w:hAnsi="Arial" w:cs="Arial"/>
        </w:rPr>
        <w:t xml:space="preserve">- </w:t>
      </w:r>
      <w:r w:rsidRPr="00011C43">
        <w:rPr>
          <w:rFonts w:ascii="Arial" w:hAnsi="Arial" w:cs="Arial"/>
        </w:rPr>
        <w:t xml:space="preserve">beneficio antes de intereses, impuestos, depreciaciones y amortizaciones </w:t>
      </w:r>
      <w:r w:rsidR="00F77E7D" w:rsidRPr="00011C43">
        <w:rPr>
          <w:rFonts w:ascii="Arial" w:hAnsi="Arial" w:cs="Arial"/>
        </w:rPr>
        <w:t>-</w:t>
      </w:r>
      <w:r w:rsidRPr="00011C43">
        <w:rPr>
          <w:rFonts w:ascii="Arial" w:hAnsi="Arial" w:cs="Arial"/>
        </w:rPr>
        <w:t xml:space="preserve"> </w:t>
      </w:r>
      <w:r w:rsidR="00645797" w:rsidRPr="00011C43">
        <w:rPr>
          <w:rFonts w:ascii="Arial" w:hAnsi="Arial" w:cs="Arial"/>
        </w:rPr>
        <w:t>f</w:t>
      </w:r>
      <w:r w:rsidRPr="00011C43">
        <w:rPr>
          <w:rFonts w:ascii="Arial" w:hAnsi="Arial" w:cs="Arial"/>
        </w:rPr>
        <w:t>u</w:t>
      </w:r>
      <w:r w:rsidR="00645797" w:rsidRPr="00011C43">
        <w:rPr>
          <w:rFonts w:ascii="Arial" w:hAnsi="Arial" w:cs="Arial"/>
        </w:rPr>
        <w:t>e</w:t>
      </w:r>
      <w:r w:rsidRPr="00011C43">
        <w:rPr>
          <w:rFonts w:ascii="Arial" w:hAnsi="Arial" w:cs="Arial"/>
        </w:rPr>
        <w:t xml:space="preserve"> de 61 millones de euros</w:t>
      </w:r>
      <w:r w:rsidR="00645797">
        <w:rPr>
          <w:rFonts w:ascii="Arial" w:hAnsi="Arial" w:cs="Arial"/>
        </w:rPr>
        <w:t>.</w:t>
      </w:r>
      <w:r w:rsidR="00703A61">
        <w:rPr>
          <w:rFonts w:ascii="Arial" w:hAnsi="Arial" w:cs="Arial"/>
        </w:rPr>
        <w:t xml:space="preserve"> Estas cifras consolidan el papel de HM Hospitale</w:t>
      </w:r>
      <w:r w:rsidR="005D61A0">
        <w:rPr>
          <w:rFonts w:ascii="Arial" w:hAnsi="Arial" w:cs="Arial"/>
        </w:rPr>
        <w:t>s</w:t>
      </w:r>
      <w:r w:rsidR="00703A61">
        <w:rPr>
          <w:rFonts w:ascii="Arial" w:hAnsi="Arial" w:cs="Arial"/>
        </w:rPr>
        <w:t xml:space="preserve"> como uno de los actores más relevantes del mercado sanitario español</w:t>
      </w:r>
      <w:r w:rsidR="005D61A0">
        <w:rPr>
          <w:rFonts w:ascii="Arial" w:hAnsi="Arial" w:cs="Arial"/>
        </w:rPr>
        <w:t xml:space="preserve"> privado y muestran un crecimiento prolongado a lo largo de los últimos años, que son el reflejo de una estrategia asistencial </w:t>
      </w:r>
      <w:r w:rsidR="000734D4">
        <w:rPr>
          <w:rFonts w:ascii="Arial" w:hAnsi="Arial" w:cs="Arial"/>
        </w:rPr>
        <w:t xml:space="preserve">y financiera </w:t>
      </w:r>
      <w:r w:rsidR="005D61A0">
        <w:rPr>
          <w:rFonts w:ascii="Arial" w:hAnsi="Arial" w:cs="Arial"/>
        </w:rPr>
        <w:t>ordenada y en expansión</w:t>
      </w:r>
      <w:r w:rsidR="00703A61">
        <w:rPr>
          <w:rFonts w:ascii="Arial" w:hAnsi="Arial" w:cs="Arial"/>
        </w:rPr>
        <w:t>.</w:t>
      </w:r>
      <w:r w:rsidR="005D61A0">
        <w:rPr>
          <w:rFonts w:ascii="Arial" w:hAnsi="Arial" w:cs="Arial"/>
        </w:rPr>
        <w:t xml:space="preserve"> </w:t>
      </w:r>
    </w:p>
    <w:p w:rsidR="00FA22E0" w:rsidRDefault="00FA22E0" w:rsidP="00703A61">
      <w:pPr>
        <w:jc w:val="both"/>
        <w:rPr>
          <w:rFonts w:ascii="Arial" w:hAnsi="Arial" w:cs="Arial"/>
        </w:rPr>
      </w:pPr>
    </w:p>
    <w:p w:rsidR="00303D27" w:rsidRDefault="005D61A0" w:rsidP="00703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Buena prueba de ello reside en que en los últimos </w:t>
      </w:r>
      <w:r w:rsidR="00303D27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años la facturación del Grupo se ha duplicado. </w:t>
      </w:r>
      <w:r w:rsidR="00303D27">
        <w:rPr>
          <w:rFonts w:ascii="Arial" w:hAnsi="Arial" w:cs="Arial"/>
        </w:rPr>
        <w:t>E</w:t>
      </w:r>
      <w:r>
        <w:rPr>
          <w:rFonts w:ascii="Arial" w:hAnsi="Arial" w:cs="Arial"/>
        </w:rPr>
        <w:t>n 2013 HM Hospitales facturó 201,6 millones de euros frente a los 415,</w:t>
      </w:r>
      <w:r w:rsidR="002E12E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millones de euros de 2018. </w:t>
      </w:r>
    </w:p>
    <w:p w:rsidR="00303D27" w:rsidRDefault="00303D27" w:rsidP="00703A61">
      <w:pPr>
        <w:jc w:val="both"/>
        <w:rPr>
          <w:rFonts w:ascii="Arial" w:hAnsi="Arial" w:cs="Arial"/>
        </w:rPr>
      </w:pPr>
    </w:p>
    <w:p w:rsidR="00703A61" w:rsidRDefault="00303D27" w:rsidP="00703A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C797E">
        <w:rPr>
          <w:rFonts w:ascii="Arial" w:hAnsi="Arial" w:cs="Arial"/>
        </w:rPr>
        <w:t xml:space="preserve">elativo a las inversiones, </w:t>
      </w:r>
      <w:r w:rsidR="00FA22E0">
        <w:rPr>
          <w:rFonts w:ascii="Arial" w:hAnsi="Arial" w:cs="Arial"/>
        </w:rPr>
        <w:t>HM Hospitales a lo largo de 2018 ha destinado 2</w:t>
      </w:r>
      <w:r w:rsidR="002875AC">
        <w:rPr>
          <w:rFonts w:ascii="Arial" w:hAnsi="Arial" w:cs="Arial"/>
        </w:rPr>
        <w:t>2,4 millones de euros en CAPEX -</w:t>
      </w:r>
      <w:r w:rsidR="00FA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inversión</w:t>
      </w:r>
      <w:r w:rsidR="00FA22E0" w:rsidRPr="00495EC5">
        <w:rPr>
          <w:rFonts w:ascii="Arial" w:hAnsi="Arial" w:cs="Arial"/>
        </w:rPr>
        <w:t xml:space="preserve"> que </w:t>
      </w:r>
      <w:r w:rsidR="00FA22E0">
        <w:rPr>
          <w:rFonts w:ascii="Arial" w:hAnsi="Arial" w:cs="Arial"/>
        </w:rPr>
        <w:t>se realiza en</w:t>
      </w:r>
      <w:r w:rsidR="00FA22E0" w:rsidRPr="00495EC5">
        <w:rPr>
          <w:rFonts w:ascii="Arial" w:hAnsi="Arial" w:cs="Arial"/>
        </w:rPr>
        <w:t xml:space="preserve"> bienes de equipo</w:t>
      </w:r>
      <w:r>
        <w:rPr>
          <w:rFonts w:ascii="Arial" w:hAnsi="Arial" w:cs="Arial"/>
        </w:rPr>
        <w:t>, construcciones y tecnología</w:t>
      </w:r>
      <w:r w:rsidR="002875AC">
        <w:rPr>
          <w:rFonts w:ascii="Arial" w:hAnsi="Arial" w:cs="Arial"/>
        </w:rPr>
        <w:t xml:space="preserve"> -</w:t>
      </w:r>
      <w:r w:rsidR="009F0976">
        <w:rPr>
          <w:rFonts w:ascii="Arial" w:hAnsi="Arial" w:cs="Arial"/>
        </w:rPr>
        <w:t>, de los cuales, dos tercios se destinaron a nuevas instalaciones</w:t>
      </w:r>
      <w:r w:rsidR="001B737E">
        <w:rPr>
          <w:rFonts w:ascii="Arial" w:hAnsi="Arial" w:cs="Arial"/>
        </w:rPr>
        <w:t xml:space="preserve"> </w:t>
      </w:r>
      <w:r w:rsidR="00CC02E7">
        <w:rPr>
          <w:rFonts w:ascii="Arial" w:hAnsi="Arial" w:cs="Arial"/>
        </w:rPr>
        <w:t xml:space="preserve">(ampliación del Hospital Universitario </w:t>
      </w:r>
      <w:r w:rsidR="009F0976">
        <w:rPr>
          <w:rFonts w:ascii="Arial" w:hAnsi="Arial" w:cs="Arial"/>
        </w:rPr>
        <w:t>HM Puerta del Sur, apertura Policl</w:t>
      </w:r>
      <w:r w:rsidR="00796405">
        <w:rPr>
          <w:rFonts w:ascii="Arial" w:hAnsi="Arial" w:cs="Arial"/>
        </w:rPr>
        <w:t>í</w:t>
      </w:r>
      <w:r w:rsidR="009F0976">
        <w:rPr>
          <w:rFonts w:ascii="Arial" w:hAnsi="Arial" w:cs="Arial"/>
        </w:rPr>
        <w:t xml:space="preserve">nico HM Getafe…) y tecnología de </w:t>
      </w:r>
      <w:r w:rsidR="003E775E">
        <w:rPr>
          <w:rFonts w:ascii="Arial" w:hAnsi="Arial" w:cs="Arial"/>
        </w:rPr>
        <w:t>última generació</w:t>
      </w:r>
      <w:r w:rsidR="009F0976">
        <w:rPr>
          <w:rFonts w:ascii="Arial" w:hAnsi="Arial" w:cs="Arial"/>
        </w:rPr>
        <w:t>n, y el tercio restante a la normal reposici</w:t>
      </w:r>
      <w:r w:rsidR="001B737E">
        <w:rPr>
          <w:rFonts w:ascii="Arial" w:hAnsi="Arial" w:cs="Arial"/>
        </w:rPr>
        <w:t>ón de equipos e instalaciones.</w:t>
      </w:r>
    </w:p>
    <w:p w:rsidR="00FA22E0" w:rsidRDefault="00FA22E0" w:rsidP="00703A61">
      <w:pPr>
        <w:jc w:val="both"/>
        <w:rPr>
          <w:rFonts w:ascii="Arial" w:hAnsi="Arial" w:cs="Arial"/>
        </w:rPr>
      </w:pPr>
    </w:p>
    <w:p w:rsidR="002467EA" w:rsidRDefault="00703A61" w:rsidP="00DF3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D. Alejandro Abarca Cidón, consejero delegado de HM Hospitales, </w:t>
      </w:r>
      <w:r w:rsidR="005D61A0">
        <w:rPr>
          <w:rFonts w:ascii="Arial" w:hAnsi="Arial" w:cs="Arial"/>
        </w:rPr>
        <w:t xml:space="preserve">destaca </w:t>
      </w:r>
      <w:r>
        <w:rPr>
          <w:rFonts w:ascii="Arial" w:hAnsi="Arial" w:cs="Arial"/>
        </w:rPr>
        <w:t xml:space="preserve">que “estos resultados </w:t>
      </w:r>
      <w:r w:rsidR="002467EA">
        <w:rPr>
          <w:rFonts w:ascii="Arial" w:hAnsi="Arial" w:cs="Arial"/>
        </w:rPr>
        <w:t xml:space="preserve">son el </w:t>
      </w:r>
      <w:r w:rsidR="009F0976">
        <w:rPr>
          <w:rFonts w:ascii="Arial" w:hAnsi="Arial" w:cs="Arial"/>
        </w:rPr>
        <w:t xml:space="preserve">reflejo de que </w:t>
      </w:r>
      <w:r w:rsidR="002467EA">
        <w:rPr>
          <w:rFonts w:ascii="Arial" w:hAnsi="Arial" w:cs="Arial"/>
        </w:rPr>
        <w:t>nuestro plan de expansión, bas</w:t>
      </w:r>
      <w:r w:rsidR="00CC02E7">
        <w:rPr>
          <w:rFonts w:ascii="Arial" w:hAnsi="Arial" w:cs="Arial"/>
        </w:rPr>
        <w:t>ado en un crecimiento sostenido</w:t>
      </w:r>
      <w:r w:rsidR="002467EA">
        <w:rPr>
          <w:rFonts w:ascii="Arial" w:hAnsi="Arial" w:cs="Arial"/>
        </w:rPr>
        <w:t xml:space="preserve"> y sobre una base asistencial sólida, va cumpliéndose. En 2018 hemos tenido un gran crecimiento de facturación, pero sobre todo</w:t>
      </w:r>
      <w:r w:rsidR="003E775E">
        <w:rPr>
          <w:rFonts w:ascii="Arial" w:hAnsi="Arial" w:cs="Arial"/>
        </w:rPr>
        <w:t>,</w:t>
      </w:r>
      <w:r w:rsidR="002467EA">
        <w:rPr>
          <w:rFonts w:ascii="Arial" w:hAnsi="Arial" w:cs="Arial"/>
        </w:rPr>
        <w:t xml:space="preserve"> hemos profundizado mucho en cuáles son nuestros planes para 2019, 2020 y 2021, porque parte de esa facturación no tiene aún un reflejo en EBITDA. Por ello</w:t>
      </w:r>
      <w:r w:rsidR="00CC02E7">
        <w:rPr>
          <w:rFonts w:ascii="Arial" w:hAnsi="Arial" w:cs="Arial"/>
        </w:rPr>
        <w:t>,</w:t>
      </w:r>
      <w:r w:rsidR="002467EA">
        <w:rPr>
          <w:rFonts w:ascii="Arial" w:hAnsi="Arial" w:cs="Arial"/>
        </w:rPr>
        <w:t xml:space="preserve"> estamos llevando a cabo una política de grandes inversiones en los centros que se incorporan, para poder hacerlos realmente competitivos al nivel que la marca HM </w:t>
      </w:r>
      <w:r w:rsidR="001B737E">
        <w:rPr>
          <w:rFonts w:ascii="Arial" w:hAnsi="Arial" w:cs="Arial"/>
        </w:rPr>
        <w:t xml:space="preserve">Hospitales </w:t>
      </w:r>
      <w:r w:rsidR="002467EA">
        <w:rPr>
          <w:rFonts w:ascii="Arial" w:hAnsi="Arial" w:cs="Arial"/>
        </w:rPr>
        <w:t>exige.”</w:t>
      </w:r>
    </w:p>
    <w:p w:rsidR="00864B4D" w:rsidRDefault="00864B4D" w:rsidP="00DF3E6B">
      <w:pPr>
        <w:jc w:val="both"/>
        <w:rPr>
          <w:rFonts w:ascii="Arial" w:hAnsi="Arial" w:cs="Arial"/>
        </w:rPr>
      </w:pPr>
    </w:p>
    <w:p w:rsidR="00DF3E6B" w:rsidRDefault="002467EA" w:rsidP="00DF3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F4D37">
        <w:rPr>
          <w:rFonts w:ascii="Arial" w:hAnsi="Arial" w:cs="Arial"/>
        </w:rPr>
        <w:t xml:space="preserve">e cara a futuro D. Alejandro Abarca añade que, </w:t>
      </w:r>
      <w:r w:rsidR="00864B4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la inflación de costes, tanto en recursos humanos como por la aparición de medicamentos innovadores, será uno de los retos </w:t>
      </w:r>
      <w:r w:rsidR="00CC02E7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 próximos años, no solo para HM</w:t>
      </w:r>
      <w:r w:rsidR="001B737E">
        <w:rPr>
          <w:rFonts w:ascii="Arial" w:hAnsi="Arial" w:cs="Arial"/>
        </w:rPr>
        <w:t xml:space="preserve"> Hospitales</w:t>
      </w:r>
      <w:r>
        <w:rPr>
          <w:rFonts w:ascii="Arial" w:hAnsi="Arial" w:cs="Arial"/>
        </w:rPr>
        <w:t>,</w:t>
      </w:r>
      <w:r w:rsidR="001B737E">
        <w:rPr>
          <w:rFonts w:ascii="Arial" w:hAnsi="Arial" w:cs="Arial"/>
        </w:rPr>
        <w:t xml:space="preserve"> sino para todo el sector. P</w:t>
      </w:r>
      <w:r>
        <w:rPr>
          <w:rFonts w:ascii="Arial" w:hAnsi="Arial" w:cs="Arial"/>
        </w:rPr>
        <w:t>or ello</w:t>
      </w:r>
      <w:r w:rsidR="00CC02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4B4D">
        <w:rPr>
          <w:rFonts w:ascii="Arial" w:hAnsi="Arial" w:cs="Arial"/>
        </w:rPr>
        <w:t>es indiscutible</w:t>
      </w:r>
      <w:r w:rsidR="001B7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hay que profundizar en</w:t>
      </w:r>
      <w:r w:rsidR="001B737E">
        <w:rPr>
          <w:rFonts w:ascii="Arial" w:hAnsi="Arial" w:cs="Arial"/>
        </w:rPr>
        <w:t xml:space="preserve"> </w:t>
      </w:r>
      <w:r w:rsidR="00864B4D">
        <w:rPr>
          <w:rFonts w:ascii="Arial" w:hAnsi="Arial" w:cs="Arial"/>
        </w:rPr>
        <w:t xml:space="preserve">la eficiencia de nuestros propios procesos </w:t>
      </w:r>
      <w:r w:rsidR="006F4D37">
        <w:rPr>
          <w:rFonts w:ascii="Arial" w:hAnsi="Arial" w:cs="Arial"/>
        </w:rPr>
        <w:t>internos</w:t>
      </w:r>
      <w:r>
        <w:rPr>
          <w:rFonts w:ascii="Arial" w:hAnsi="Arial" w:cs="Arial"/>
        </w:rPr>
        <w:t xml:space="preserve"> para que la </w:t>
      </w:r>
      <w:r w:rsidR="00864B4D">
        <w:rPr>
          <w:rFonts w:ascii="Arial" w:hAnsi="Arial" w:cs="Arial"/>
        </w:rPr>
        <w:t>actualización de tarifas</w:t>
      </w:r>
      <w:r>
        <w:rPr>
          <w:rFonts w:ascii="Arial" w:hAnsi="Arial" w:cs="Arial"/>
        </w:rPr>
        <w:t xml:space="preserve">, que también es inevitable, no sea la única palanca para poder mantener los niveles de </w:t>
      </w:r>
      <w:r w:rsidR="001B737E">
        <w:rPr>
          <w:rFonts w:ascii="Arial" w:hAnsi="Arial" w:cs="Arial"/>
        </w:rPr>
        <w:t>inversión</w:t>
      </w:r>
      <w:r>
        <w:rPr>
          <w:rFonts w:ascii="Arial" w:hAnsi="Arial" w:cs="Arial"/>
        </w:rPr>
        <w:t xml:space="preserve"> actuales</w:t>
      </w:r>
      <w:r w:rsidR="001B737E">
        <w:rPr>
          <w:rFonts w:ascii="Arial" w:hAnsi="Arial" w:cs="Arial"/>
        </w:rPr>
        <w:t xml:space="preserve"> en </w:t>
      </w:r>
      <w:r w:rsidR="006F4D37">
        <w:rPr>
          <w:rFonts w:ascii="Arial" w:hAnsi="Arial" w:cs="Arial"/>
        </w:rPr>
        <w:t>equipamiento y tecnología puntera</w:t>
      </w:r>
      <w:r>
        <w:rPr>
          <w:rFonts w:ascii="Arial" w:hAnsi="Arial" w:cs="Arial"/>
        </w:rPr>
        <w:t xml:space="preserve">. HM </w:t>
      </w:r>
      <w:r w:rsidR="001B737E">
        <w:rPr>
          <w:rFonts w:ascii="Arial" w:hAnsi="Arial" w:cs="Arial"/>
        </w:rPr>
        <w:t xml:space="preserve">Hospitales </w:t>
      </w:r>
      <w:r>
        <w:rPr>
          <w:rFonts w:ascii="Arial" w:hAnsi="Arial" w:cs="Arial"/>
        </w:rPr>
        <w:t>es plenamente</w:t>
      </w:r>
      <w:r w:rsidR="003E775E">
        <w:rPr>
          <w:rFonts w:ascii="Arial" w:hAnsi="Arial" w:cs="Arial"/>
        </w:rPr>
        <w:t xml:space="preserve"> consciente de ello</w:t>
      </w:r>
      <w:r>
        <w:rPr>
          <w:rFonts w:ascii="Arial" w:hAnsi="Arial" w:cs="Arial"/>
        </w:rPr>
        <w:t xml:space="preserve"> y </w:t>
      </w:r>
      <w:r w:rsidR="001B737E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iniciando una revisión de todos sus procesos para iniciar la transformación digital que </w:t>
      </w:r>
      <w:r w:rsidR="00F04A50">
        <w:rPr>
          <w:rFonts w:ascii="Arial" w:hAnsi="Arial" w:cs="Arial"/>
        </w:rPr>
        <w:t>se ha llevado ya a cabo en otros muchísimos sectores empresariales</w:t>
      </w:r>
      <w:r w:rsidR="001B737E">
        <w:rPr>
          <w:rFonts w:ascii="Arial" w:hAnsi="Arial" w:cs="Arial"/>
        </w:rPr>
        <w:t>”.</w:t>
      </w:r>
    </w:p>
    <w:p w:rsidR="001825E7" w:rsidRPr="001825E7" w:rsidRDefault="001825E7" w:rsidP="00DF3E6B">
      <w:pPr>
        <w:jc w:val="both"/>
        <w:rPr>
          <w:rFonts w:ascii="Arial" w:hAnsi="Arial" w:cs="Arial"/>
          <w:b/>
        </w:rPr>
      </w:pPr>
    </w:p>
    <w:p w:rsidR="00DF3E6B" w:rsidRDefault="00DF3E6B" w:rsidP="00DF3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Precisamente</w:t>
      </w:r>
      <w:r w:rsidR="00CC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incorporación a la red asistencial del Grupo del primer centro hospitalario </w:t>
      </w:r>
      <w:r w:rsidR="00CC797E">
        <w:rPr>
          <w:rFonts w:ascii="Arial" w:hAnsi="Arial" w:cs="Arial"/>
        </w:rPr>
        <w:t xml:space="preserve">de la </w:t>
      </w:r>
      <w:r w:rsidR="000734D4">
        <w:rPr>
          <w:rFonts w:ascii="Arial" w:hAnsi="Arial" w:cs="Arial"/>
        </w:rPr>
        <w:t>compañía</w:t>
      </w:r>
      <w:r w:rsidR="00CC79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Barcelona gracias a HM Delfos ha marcado un hito en la historia de HM Hospitales, que de este modo adquiere una verdadera dimensión nacional. </w:t>
      </w:r>
      <w:r w:rsidR="00F95D60">
        <w:rPr>
          <w:rFonts w:ascii="Arial" w:hAnsi="Arial" w:cs="Arial"/>
        </w:rPr>
        <w:t>Este nuevo hospital aspira a convertirse en la referencia de la sanidad privada de Barcelona y en 2018 ya ha aportado 23,6 millones de euros a la facturación del Grupo. Para este centro</w:t>
      </w:r>
      <w:r w:rsidR="003E775E">
        <w:rPr>
          <w:rFonts w:ascii="Arial" w:hAnsi="Arial" w:cs="Arial"/>
        </w:rPr>
        <w:t>,</w:t>
      </w:r>
      <w:r w:rsidR="00F95D60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compañía </w:t>
      </w:r>
      <w:r w:rsidR="001473D0">
        <w:rPr>
          <w:rFonts w:ascii="Arial" w:hAnsi="Arial" w:cs="Arial"/>
        </w:rPr>
        <w:t>está implementando u</w:t>
      </w:r>
      <w:r w:rsidRPr="00DF3E6B">
        <w:rPr>
          <w:rFonts w:ascii="Arial" w:hAnsi="Arial" w:cs="Arial"/>
        </w:rPr>
        <w:t>n plan de inversión de 30 millones de euros</w:t>
      </w:r>
      <w:r w:rsidR="001473D0">
        <w:rPr>
          <w:rFonts w:ascii="Arial" w:hAnsi="Arial" w:cs="Arial"/>
        </w:rPr>
        <w:t xml:space="preserve"> en los próximos 4 años </w:t>
      </w:r>
      <w:r w:rsidR="00F95D60">
        <w:rPr>
          <w:rFonts w:ascii="Arial" w:hAnsi="Arial" w:cs="Arial"/>
        </w:rPr>
        <w:t>que servirá p</w:t>
      </w:r>
      <w:r w:rsidRPr="00DF3E6B">
        <w:rPr>
          <w:rFonts w:ascii="Arial" w:hAnsi="Arial" w:cs="Arial"/>
        </w:rPr>
        <w:t>ara remodelar instalaciones, adquirir tecnología sanitaria puntera y equipos de profesionales de primer nivel</w:t>
      </w:r>
      <w:r w:rsidR="001473D0">
        <w:rPr>
          <w:rFonts w:ascii="Arial" w:hAnsi="Arial" w:cs="Arial"/>
        </w:rPr>
        <w:t xml:space="preserve">. </w:t>
      </w:r>
      <w:r w:rsidR="00303D27">
        <w:rPr>
          <w:rFonts w:ascii="Arial" w:hAnsi="Arial" w:cs="Arial"/>
        </w:rPr>
        <w:t>E</w:t>
      </w:r>
      <w:r w:rsidR="001473D0">
        <w:rPr>
          <w:rFonts w:ascii="Arial" w:hAnsi="Arial" w:cs="Arial"/>
        </w:rPr>
        <w:t>l Grupo</w:t>
      </w:r>
      <w:r w:rsidR="00BB4788">
        <w:rPr>
          <w:rFonts w:ascii="Arial" w:hAnsi="Arial" w:cs="Arial"/>
        </w:rPr>
        <w:t xml:space="preserve"> también</w:t>
      </w:r>
      <w:r w:rsidR="001473D0">
        <w:rPr>
          <w:rFonts w:ascii="Arial" w:hAnsi="Arial" w:cs="Arial"/>
        </w:rPr>
        <w:t xml:space="preserve"> está evaluando </w:t>
      </w:r>
      <w:r w:rsidR="00FA0B7E">
        <w:rPr>
          <w:rFonts w:ascii="Arial" w:hAnsi="Arial" w:cs="Arial"/>
        </w:rPr>
        <w:t xml:space="preserve">nuevas oportunidades adicionales de expansión en la Ciudad Condal. </w:t>
      </w:r>
    </w:p>
    <w:p w:rsidR="000734D4" w:rsidRDefault="000734D4" w:rsidP="00DF3E6B">
      <w:pPr>
        <w:jc w:val="both"/>
        <w:rPr>
          <w:rFonts w:ascii="Arial" w:hAnsi="Arial" w:cs="Arial"/>
        </w:rPr>
      </w:pPr>
    </w:p>
    <w:p w:rsidR="000734D4" w:rsidRDefault="000734D4" w:rsidP="00DF3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Dr. Juan Abarca Cidón, presidente de HM Hospitales, asegura que, “mantener estos buenos resultados financieros nos permite</w:t>
      </w:r>
      <w:r w:rsidR="00206C7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seguir con la proyección de consolidar y desarrollar nuestra red de centros </w:t>
      </w:r>
      <w:r w:rsidR="00BB4788">
        <w:rPr>
          <w:rFonts w:ascii="Arial" w:hAnsi="Arial" w:cs="Arial"/>
        </w:rPr>
        <w:t>hospitalarios</w:t>
      </w:r>
      <w:r>
        <w:rPr>
          <w:rFonts w:ascii="Arial" w:hAnsi="Arial" w:cs="Arial"/>
        </w:rPr>
        <w:t>, que</w:t>
      </w:r>
      <w:r w:rsidR="00BB4788">
        <w:rPr>
          <w:rFonts w:ascii="Arial" w:hAnsi="Arial" w:cs="Arial"/>
        </w:rPr>
        <w:t xml:space="preserve"> al trabajar de manera coordinada </w:t>
      </w:r>
      <w:r>
        <w:rPr>
          <w:rFonts w:ascii="Arial" w:hAnsi="Arial" w:cs="Arial"/>
        </w:rPr>
        <w:t>garantiza</w:t>
      </w:r>
      <w:r w:rsidR="00206C7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 los pacientes tratamientos y procesos asistenciales iguales estén donde estén ubicados geográficamente”. </w:t>
      </w:r>
    </w:p>
    <w:p w:rsidR="00FA22E0" w:rsidRDefault="00FA22E0" w:rsidP="00DF3E6B">
      <w:pPr>
        <w:jc w:val="both"/>
        <w:rPr>
          <w:rFonts w:ascii="Arial" w:hAnsi="Arial" w:cs="Arial"/>
        </w:rPr>
      </w:pPr>
    </w:p>
    <w:p w:rsidR="00FA22E0" w:rsidRPr="006C118A" w:rsidRDefault="00FA22E0" w:rsidP="00DF3E6B">
      <w:pPr>
        <w:jc w:val="both"/>
        <w:rPr>
          <w:rFonts w:ascii="Arial" w:hAnsi="Arial" w:cs="Arial"/>
          <w:b/>
        </w:rPr>
      </w:pPr>
      <w:r w:rsidRPr="006C118A">
        <w:rPr>
          <w:rFonts w:ascii="Arial" w:hAnsi="Arial" w:cs="Arial"/>
          <w:b/>
        </w:rPr>
        <w:t>Fuerte crecimiento en Madrid</w:t>
      </w:r>
    </w:p>
    <w:p w:rsidR="00460FEB" w:rsidRDefault="00FA22E0" w:rsidP="00DF3E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las principales </w:t>
      </w:r>
      <w:r w:rsidR="00822E6E">
        <w:rPr>
          <w:rFonts w:ascii="Arial" w:hAnsi="Arial" w:cs="Arial"/>
        </w:rPr>
        <w:t xml:space="preserve">magnitudes económicas a tener en cuenta en 2018 </w:t>
      </w:r>
      <w:r w:rsidR="006C118A">
        <w:rPr>
          <w:rFonts w:ascii="Arial" w:hAnsi="Arial" w:cs="Arial"/>
        </w:rPr>
        <w:t>hace</w:t>
      </w:r>
      <w:r w:rsidR="00822E6E">
        <w:rPr>
          <w:rFonts w:ascii="Arial" w:hAnsi="Arial" w:cs="Arial"/>
        </w:rPr>
        <w:t xml:space="preserve"> referencia </w:t>
      </w:r>
      <w:r w:rsidR="006C118A">
        <w:rPr>
          <w:rFonts w:ascii="Arial" w:hAnsi="Arial" w:cs="Arial"/>
        </w:rPr>
        <w:t>a</w:t>
      </w:r>
      <w:r w:rsidR="00822E6E">
        <w:rPr>
          <w:rFonts w:ascii="Arial" w:hAnsi="Arial" w:cs="Arial"/>
        </w:rPr>
        <w:t>l fuerte crecimiento experimentado por los centros de H</w:t>
      </w:r>
      <w:r w:rsidR="006C118A">
        <w:rPr>
          <w:rFonts w:ascii="Arial" w:hAnsi="Arial" w:cs="Arial"/>
        </w:rPr>
        <w:t>M</w:t>
      </w:r>
      <w:r w:rsidR="00822E6E">
        <w:rPr>
          <w:rFonts w:ascii="Arial" w:hAnsi="Arial" w:cs="Arial"/>
        </w:rPr>
        <w:t xml:space="preserve"> Hospitales en la Comunidad de Madrid</w:t>
      </w:r>
      <w:r w:rsidR="006C118A">
        <w:rPr>
          <w:rFonts w:ascii="Arial" w:hAnsi="Arial" w:cs="Arial"/>
        </w:rPr>
        <w:t xml:space="preserve">, que a lo largo del ejercicio </w:t>
      </w:r>
      <w:r w:rsidR="00206C7F">
        <w:rPr>
          <w:rFonts w:ascii="Arial" w:hAnsi="Arial" w:cs="Arial"/>
        </w:rPr>
        <w:t>alcanzaron</w:t>
      </w:r>
      <w:r w:rsidR="00BB4788">
        <w:rPr>
          <w:rFonts w:ascii="Arial" w:hAnsi="Arial" w:cs="Arial"/>
        </w:rPr>
        <w:t xml:space="preserve"> los</w:t>
      </w:r>
      <w:r w:rsidR="006C118A">
        <w:rPr>
          <w:rFonts w:ascii="Arial" w:hAnsi="Arial" w:cs="Arial"/>
        </w:rPr>
        <w:t xml:space="preserve"> 30</w:t>
      </w:r>
      <w:r w:rsidR="00BB4788">
        <w:rPr>
          <w:rFonts w:ascii="Arial" w:hAnsi="Arial" w:cs="Arial"/>
        </w:rPr>
        <w:t>1,7</w:t>
      </w:r>
      <w:r w:rsidR="006C118A">
        <w:rPr>
          <w:rFonts w:ascii="Arial" w:hAnsi="Arial" w:cs="Arial"/>
        </w:rPr>
        <w:t xml:space="preserve"> millones de euros, lo que supone un aumento del 9,6%, que se traduce en 26,3 millones de euros </w:t>
      </w:r>
      <w:r w:rsidR="00460FEB">
        <w:rPr>
          <w:rFonts w:ascii="Arial" w:hAnsi="Arial" w:cs="Arial"/>
        </w:rPr>
        <w:t xml:space="preserve">más que en 2017. </w:t>
      </w:r>
      <w:r w:rsidR="00BB4788">
        <w:rPr>
          <w:rFonts w:ascii="Arial" w:hAnsi="Arial" w:cs="Arial"/>
        </w:rPr>
        <w:t>C</w:t>
      </w:r>
      <w:r w:rsidR="00460FEB">
        <w:rPr>
          <w:rFonts w:ascii="Arial" w:hAnsi="Arial" w:cs="Arial"/>
        </w:rPr>
        <w:t xml:space="preserve">abe destacar los magníficos resultados </w:t>
      </w:r>
      <w:r w:rsidR="00BB4788">
        <w:rPr>
          <w:rFonts w:ascii="Arial" w:hAnsi="Arial" w:cs="Arial"/>
        </w:rPr>
        <w:t>arrojados</w:t>
      </w:r>
      <w:r w:rsidR="00460FEB">
        <w:rPr>
          <w:rFonts w:ascii="Arial" w:hAnsi="Arial" w:cs="Arial"/>
        </w:rPr>
        <w:t xml:space="preserve"> por los hospitales universitario</w:t>
      </w:r>
      <w:r w:rsidR="00BB4788">
        <w:rPr>
          <w:rFonts w:ascii="Arial" w:hAnsi="Arial" w:cs="Arial"/>
        </w:rPr>
        <w:t>s</w:t>
      </w:r>
      <w:r w:rsidR="00864B4D">
        <w:rPr>
          <w:rFonts w:ascii="Arial" w:hAnsi="Arial" w:cs="Arial"/>
        </w:rPr>
        <w:t xml:space="preserve"> HM </w:t>
      </w:r>
      <w:proofErr w:type="spellStart"/>
      <w:r w:rsidR="00864B4D">
        <w:rPr>
          <w:rFonts w:ascii="Arial" w:hAnsi="Arial" w:cs="Arial"/>
        </w:rPr>
        <w:t>Sanchinar</w:t>
      </w:r>
      <w:r w:rsidR="00460FEB">
        <w:rPr>
          <w:rFonts w:ascii="Arial" w:hAnsi="Arial" w:cs="Arial"/>
        </w:rPr>
        <w:t>ro</w:t>
      </w:r>
      <w:proofErr w:type="spellEnd"/>
      <w:r w:rsidR="00460FEB">
        <w:rPr>
          <w:rFonts w:ascii="Arial" w:hAnsi="Arial" w:cs="Arial"/>
        </w:rPr>
        <w:t xml:space="preserve"> y HM Puerta del S</w:t>
      </w:r>
      <w:r w:rsidR="003E775E">
        <w:rPr>
          <w:rFonts w:ascii="Arial" w:hAnsi="Arial" w:cs="Arial"/>
        </w:rPr>
        <w:t xml:space="preserve">ur, </w:t>
      </w:r>
      <w:r w:rsidR="00460FEB">
        <w:rPr>
          <w:rFonts w:ascii="Arial" w:hAnsi="Arial" w:cs="Arial"/>
        </w:rPr>
        <w:t>cuya facturación sanitaria registró incrementos de 9,6 millones de euros y de 5,6 millones de euros respectivamente.</w:t>
      </w:r>
    </w:p>
    <w:p w:rsidR="00460FEB" w:rsidRDefault="00460FEB" w:rsidP="00DF3E6B">
      <w:pPr>
        <w:jc w:val="both"/>
        <w:rPr>
          <w:rFonts w:ascii="Arial" w:hAnsi="Arial" w:cs="Arial"/>
        </w:rPr>
      </w:pPr>
    </w:p>
    <w:p w:rsidR="00BD0E4F" w:rsidRDefault="00460FEB" w:rsidP="00BD0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resto de territorios con implantación de HM Hospitales también </w:t>
      </w:r>
      <w:r w:rsidR="00BB4788">
        <w:rPr>
          <w:rFonts w:ascii="Arial" w:hAnsi="Arial" w:cs="Arial"/>
        </w:rPr>
        <w:t xml:space="preserve">se han experimentado </w:t>
      </w:r>
      <w:r>
        <w:rPr>
          <w:rFonts w:ascii="Arial" w:hAnsi="Arial" w:cs="Arial"/>
        </w:rPr>
        <w:t>evoluciones</w:t>
      </w:r>
      <w:r w:rsidR="00DE676E">
        <w:rPr>
          <w:rFonts w:ascii="Arial" w:hAnsi="Arial" w:cs="Arial"/>
        </w:rPr>
        <w:t xml:space="preserve"> </w:t>
      </w:r>
      <w:r w:rsidR="00864B4D">
        <w:rPr>
          <w:rFonts w:ascii="Arial" w:hAnsi="Arial" w:cs="Arial"/>
        </w:rPr>
        <w:t>positivas,</w:t>
      </w:r>
      <w:r>
        <w:rPr>
          <w:rFonts w:ascii="Arial" w:hAnsi="Arial" w:cs="Arial"/>
        </w:rPr>
        <w:t xml:space="preserve"> aunque más contenidas. En concreto, los </w:t>
      </w:r>
      <w:r>
        <w:rPr>
          <w:rFonts w:ascii="Arial" w:hAnsi="Arial" w:cs="Arial"/>
        </w:rPr>
        <w:lastRenderedPageBreak/>
        <w:t>ingr</w:t>
      </w:r>
      <w:r w:rsidR="00BB4788">
        <w:rPr>
          <w:rFonts w:ascii="Arial" w:hAnsi="Arial" w:cs="Arial"/>
        </w:rPr>
        <w:t>esos de Galicia</w:t>
      </w:r>
      <w:r>
        <w:rPr>
          <w:rFonts w:ascii="Arial" w:hAnsi="Arial" w:cs="Arial"/>
        </w:rPr>
        <w:t xml:space="preserve"> aumentaron </w:t>
      </w:r>
      <w:r w:rsidR="0058257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1,4 millones de euros, </w:t>
      </w:r>
      <w:r w:rsidR="00290B96">
        <w:rPr>
          <w:rFonts w:ascii="Arial" w:hAnsi="Arial" w:cs="Arial"/>
        </w:rPr>
        <w:t>mi</w:t>
      </w:r>
      <w:r w:rsidR="00BB4788">
        <w:rPr>
          <w:rFonts w:ascii="Arial" w:hAnsi="Arial" w:cs="Arial"/>
        </w:rPr>
        <w:t>e</w:t>
      </w:r>
      <w:r w:rsidR="00290B96">
        <w:rPr>
          <w:rFonts w:ascii="Arial" w:hAnsi="Arial" w:cs="Arial"/>
        </w:rPr>
        <w:t xml:space="preserve">ntras que </w:t>
      </w:r>
      <w:r w:rsidR="00BB4788">
        <w:rPr>
          <w:rFonts w:ascii="Arial" w:hAnsi="Arial" w:cs="Arial"/>
        </w:rPr>
        <w:t xml:space="preserve">en </w:t>
      </w:r>
      <w:r w:rsidR="00290B96">
        <w:rPr>
          <w:rFonts w:ascii="Arial" w:hAnsi="Arial" w:cs="Arial"/>
        </w:rPr>
        <w:t>los hospitales de</w:t>
      </w:r>
      <w:r>
        <w:rPr>
          <w:rFonts w:ascii="Arial" w:hAnsi="Arial" w:cs="Arial"/>
        </w:rPr>
        <w:t xml:space="preserve"> León</w:t>
      </w:r>
      <w:r w:rsidR="00BB4788">
        <w:rPr>
          <w:rFonts w:ascii="Arial" w:hAnsi="Arial" w:cs="Arial"/>
        </w:rPr>
        <w:t xml:space="preserve"> la cifra de incremento aumentó en</w:t>
      </w:r>
      <w:r w:rsidR="00290B96">
        <w:rPr>
          <w:rFonts w:ascii="Arial" w:hAnsi="Arial" w:cs="Arial"/>
        </w:rPr>
        <w:t xml:space="preserve"> 0,3 millones </w:t>
      </w:r>
      <w:r w:rsidR="00E26BAE">
        <w:rPr>
          <w:rFonts w:ascii="Arial" w:hAnsi="Arial" w:cs="Arial"/>
        </w:rPr>
        <w:t>de e</w:t>
      </w:r>
      <w:r w:rsidR="00290B96">
        <w:rPr>
          <w:rFonts w:ascii="Arial" w:hAnsi="Arial" w:cs="Arial"/>
        </w:rPr>
        <w:t>u</w:t>
      </w:r>
      <w:r w:rsidR="00E26BAE">
        <w:rPr>
          <w:rFonts w:ascii="Arial" w:hAnsi="Arial" w:cs="Arial"/>
        </w:rPr>
        <w:t>r</w:t>
      </w:r>
      <w:r w:rsidR="00290B96">
        <w:rPr>
          <w:rFonts w:ascii="Arial" w:hAnsi="Arial" w:cs="Arial"/>
        </w:rPr>
        <w:t>os.</w:t>
      </w:r>
      <w:r>
        <w:rPr>
          <w:rFonts w:ascii="Arial" w:hAnsi="Arial" w:cs="Arial"/>
        </w:rPr>
        <w:t xml:space="preserve"> </w:t>
      </w:r>
    </w:p>
    <w:p w:rsidR="00BD0E4F" w:rsidRDefault="00BD0E4F" w:rsidP="00BD0E4F">
      <w:pPr>
        <w:jc w:val="both"/>
        <w:rPr>
          <w:rFonts w:ascii="Arial" w:hAnsi="Arial" w:cs="Arial"/>
        </w:rPr>
      </w:pPr>
    </w:p>
    <w:p w:rsidR="00642AFC" w:rsidRDefault="00582573" w:rsidP="00E26BAE">
      <w:pPr>
        <w:jc w:val="both"/>
      </w:pPr>
      <w:r>
        <w:rPr>
          <w:rFonts w:ascii="Arial" w:hAnsi="Arial" w:cs="Arial"/>
        </w:rPr>
        <w:t>Además,</w:t>
      </w:r>
      <w:r w:rsidR="00E26BAE">
        <w:rPr>
          <w:rFonts w:ascii="Arial" w:hAnsi="Arial" w:cs="Arial"/>
        </w:rPr>
        <w:t xml:space="preserve"> HM Hospitales, para cumplir uno de los objetivos esenciales de la compañía, continúa trabajando en el desarrollo de políticas de eficiencia e integración entre centros que proporcion</w:t>
      </w:r>
      <w:r w:rsidR="00BB4788">
        <w:rPr>
          <w:rFonts w:ascii="Arial" w:hAnsi="Arial" w:cs="Arial"/>
        </w:rPr>
        <w:t xml:space="preserve">a la </w:t>
      </w:r>
      <w:r w:rsidR="00E26BAE">
        <w:rPr>
          <w:rFonts w:ascii="Arial" w:hAnsi="Arial" w:cs="Arial"/>
        </w:rPr>
        <w:t xml:space="preserve">red asistencial </w:t>
      </w:r>
      <w:r w:rsidR="00CC02E7">
        <w:rPr>
          <w:rFonts w:ascii="Arial" w:hAnsi="Arial" w:cs="Arial"/>
        </w:rPr>
        <w:t>unificada</w:t>
      </w:r>
      <w:r w:rsidR="00544507">
        <w:rPr>
          <w:rFonts w:ascii="Arial" w:hAnsi="Arial" w:cs="Arial"/>
        </w:rPr>
        <w:t>. De este modo, los recursos humanos de la compañía siguen creciendo hasta alc</w:t>
      </w:r>
      <w:r w:rsidR="00864B4D">
        <w:rPr>
          <w:rFonts w:ascii="Arial" w:hAnsi="Arial" w:cs="Arial"/>
        </w:rPr>
        <w:t>anzar la cifra histórica de 4.80</w:t>
      </w:r>
      <w:r w:rsidR="00544507">
        <w:rPr>
          <w:rFonts w:ascii="Arial" w:hAnsi="Arial" w:cs="Arial"/>
        </w:rPr>
        <w:t xml:space="preserve">0 empleados, </w:t>
      </w:r>
      <w:r w:rsidR="00BB4788">
        <w:rPr>
          <w:rFonts w:ascii="Arial" w:hAnsi="Arial" w:cs="Arial"/>
        </w:rPr>
        <w:t xml:space="preserve">de los cuales el </w:t>
      </w:r>
      <w:r>
        <w:rPr>
          <w:rFonts w:ascii="Arial" w:hAnsi="Arial" w:cs="Arial"/>
        </w:rPr>
        <w:t>89</w:t>
      </w:r>
      <w:r w:rsidR="00544507">
        <w:rPr>
          <w:rFonts w:ascii="Arial" w:hAnsi="Arial" w:cs="Arial"/>
        </w:rPr>
        <w:t>% son indefinidos</w:t>
      </w:r>
      <w:r w:rsidR="00544507" w:rsidRPr="00544507">
        <w:rPr>
          <w:rFonts w:ascii="Arial" w:hAnsi="Arial" w:cs="Arial"/>
        </w:rPr>
        <w:t>. En ese sentido</w:t>
      </w:r>
      <w:r w:rsidR="00544507">
        <w:rPr>
          <w:rFonts w:ascii="Arial" w:hAnsi="Arial" w:cs="Arial"/>
        </w:rPr>
        <w:t>, son aproximadamente unos 5.000 médicos quienes ofrecen la mejor asistencia sanitaria a los pacientes en los 40 centros del Grupo</w:t>
      </w:r>
      <w:r w:rsidR="00BB4788">
        <w:rPr>
          <w:rFonts w:ascii="Arial" w:hAnsi="Arial" w:cs="Arial"/>
        </w:rPr>
        <w:t>,</w:t>
      </w:r>
      <w:r w:rsidR="00544507">
        <w:rPr>
          <w:rFonts w:ascii="Arial" w:hAnsi="Arial" w:cs="Arial"/>
        </w:rPr>
        <w:t xml:space="preserve"> que cuenta también con </w:t>
      </w:r>
      <w:r w:rsidR="00BB4788">
        <w:rPr>
          <w:rFonts w:ascii="Arial" w:hAnsi="Arial" w:cs="Arial"/>
        </w:rPr>
        <w:t xml:space="preserve">más de </w:t>
      </w:r>
      <w:r w:rsidR="00544507">
        <w:rPr>
          <w:rFonts w:ascii="Arial" w:hAnsi="Arial" w:cs="Arial"/>
        </w:rPr>
        <w:t>1.400 camas y 100 quirófanos</w:t>
      </w:r>
      <w:r w:rsidR="00BB4788">
        <w:rPr>
          <w:rFonts w:ascii="Arial" w:hAnsi="Arial" w:cs="Arial"/>
        </w:rPr>
        <w:t xml:space="preserve"> en su conjunto</w:t>
      </w:r>
      <w:r w:rsidR="00544507">
        <w:rPr>
          <w:rFonts w:ascii="Arial" w:hAnsi="Arial" w:cs="Arial"/>
        </w:rPr>
        <w:t>.</w:t>
      </w:r>
    </w:p>
    <w:p w:rsidR="00D41C54" w:rsidRDefault="00D41C54">
      <w:pPr>
        <w:jc w:val="both"/>
        <w:rPr>
          <w:rFonts w:ascii="Arial" w:hAnsi="Arial" w:cs="Arial"/>
        </w:rPr>
      </w:pPr>
    </w:p>
    <w:p w:rsidR="00E36D5A" w:rsidRDefault="00E36D5A" w:rsidP="00D41C54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</w:p>
    <w:p w:rsidR="00E36D5A" w:rsidRDefault="00E36D5A" w:rsidP="00D41C54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</w:p>
    <w:p w:rsidR="00D41C54" w:rsidRPr="00162CC1" w:rsidRDefault="00D41C54" w:rsidP="00D41C54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  <w:r w:rsidRPr="00162CC1">
        <w:rPr>
          <w:rFonts w:ascii="Arial" w:eastAsia="Times New Roman" w:hAnsi="Arial" w:cs="Arial"/>
          <w:b/>
          <w:noProof w:val="0"/>
          <w:color w:val="auto"/>
        </w:rPr>
        <w:t>HM Hospitales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Times New Roman"/>
          <w:b w:val="0"/>
          <w:bCs w:val="0"/>
          <w:noProof w:val="0"/>
          <w:color w:val="auto"/>
        </w:rPr>
        <w:t>HM Hospitales es el grupo hospitalario privado de referencia a nivel naci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onal que basa su oferta en la excelencia asistencial sumada a la investigaci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n, la docencia, la constante innovaci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tecnol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gica y la publicaci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de resultados.</w:t>
      </w:r>
    </w:p>
    <w:p w:rsidR="00D41C54" w:rsidRPr="00162CC1" w:rsidRDefault="00D41C54" w:rsidP="00D41C54">
      <w:pPr>
        <w:pStyle w:val="CuerpoBA"/>
        <w:rPr>
          <w:noProof w:val="0"/>
        </w:rPr>
      </w:pP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>Dirigido por 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é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dicos y con capital 100% espa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ñ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ol, cuenta en la actualidad con 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="00864B4D">
        <w:rPr>
          <w:rFonts w:eastAsia="Arial Unicode MS" w:hAnsi="Arial Unicode MS" w:cs="Arial Unicode MS"/>
          <w:b w:val="0"/>
          <w:bCs w:val="0"/>
          <w:noProof w:val="0"/>
        </w:rPr>
        <w:t>s de 4.8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00 profesionales que concentran sus esfuerzos en ofrecer una medicina de calidad e innovadora centrada en el cuidado de la salud y el bienestar de sus pacientes y familiares.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 xml:space="preserve"> 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>HM Hospitales est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 xml:space="preserve"> 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formado por 40 centros asistenciales: 15 hospitales, 4 centros integrales de alta especializaci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en Oncolog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a, Cardiolog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a, Neurociencias y Fertilidad, adem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s de 21 policl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nicos. Todos ellos trabajan de manera coordinada para ofrecer una gesti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integral de las necesidades y requerimientos de sus pacientes.</w:t>
      </w:r>
    </w:p>
    <w:p w:rsidR="00D41C54" w:rsidRDefault="00D41C54" w:rsidP="00D41C54">
      <w:pPr>
        <w:pStyle w:val="CuerpoBA"/>
        <w:rPr>
          <w:noProof w:val="0"/>
        </w:rPr>
      </w:pPr>
    </w:p>
    <w:p w:rsidR="00C733B3" w:rsidRPr="00162CC1" w:rsidRDefault="00C733B3" w:rsidP="00D41C54">
      <w:pPr>
        <w:pStyle w:val="CuerpoBA"/>
        <w:rPr>
          <w:noProof w:val="0"/>
        </w:rPr>
      </w:pPr>
      <w:bookmarkStart w:id="0" w:name="_GoBack"/>
      <w:bookmarkEnd w:id="0"/>
    </w:p>
    <w:p w:rsidR="00D41C54" w:rsidRDefault="00D41C54" w:rsidP="00D41C54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M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á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s informaci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n para medios:</w:t>
      </w:r>
    </w:p>
    <w:p w:rsidR="00F52DC8" w:rsidRPr="00162CC1" w:rsidRDefault="00F52DC8" w:rsidP="00D41C54">
      <w:pPr>
        <w:pStyle w:val="CuerpoBA"/>
        <w:rPr>
          <w:noProof w:val="0"/>
          <w:sz w:val="20"/>
          <w:szCs w:val="20"/>
        </w:rPr>
      </w:pPr>
    </w:p>
    <w:p w:rsidR="00DA3382" w:rsidRPr="00162CC1" w:rsidRDefault="00DA3382" w:rsidP="00DA3382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DPTO. DE COMUNICACI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N DE HM HOSPITALES</w:t>
      </w:r>
    </w:p>
    <w:p w:rsidR="00DA3382" w:rsidRPr="00162CC1" w:rsidRDefault="00DA3382" w:rsidP="00DA3382">
      <w:pPr>
        <w:pStyle w:val="CuerpoBA"/>
        <w:rPr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Marcos Garc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í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a Rodr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í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guez</w:t>
      </w:r>
    </w:p>
    <w:p w:rsidR="00DA3382" w:rsidRPr="00162CC1" w:rsidRDefault="00DA3382" w:rsidP="00DA3382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Tel.: 914 444 244 Ext 167 / M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 xml:space="preserve">vil 667 184 600 </w:t>
      </w:r>
    </w:p>
    <w:p w:rsidR="00DA3382" w:rsidRPr="00162CC1" w:rsidRDefault="00DA3382" w:rsidP="00DA3382">
      <w:pPr>
        <w:pStyle w:val="CuerpoBA"/>
        <w:rPr>
          <w:rStyle w:val="Hyperlink1"/>
          <w:noProof w:val="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E-mail:</w:t>
      </w:r>
      <w:r w:rsidRPr="00162CC1">
        <w:rPr>
          <w:rFonts w:eastAsia="Arial Unicode MS" w:hAnsi="Arial Unicode MS" w:cs="Arial Unicode MS"/>
          <w:b w:val="0"/>
          <w:bCs w:val="0"/>
          <w:noProof w:val="0"/>
          <w:sz w:val="20"/>
          <w:szCs w:val="20"/>
        </w:rPr>
        <w:t xml:space="preserve"> </w:t>
      </w:r>
      <w:hyperlink r:id="rId9" w:history="1">
        <w:r w:rsidRPr="00162CC1">
          <w:rPr>
            <w:rStyle w:val="Hyperlink1"/>
            <w:rFonts w:eastAsia="Arial Unicode MS" w:hAnsi="Arial Unicode MS" w:cs="Arial Unicode MS"/>
            <w:b w:val="0"/>
            <w:bCs w:val="0"/>
            <w:noProof w:val="0"/>
          </w:rPr>
          <w:t>mgarciarodriguez@hmhospitales.com</w:t>
        </w:r>
      </w:hyperlink>
    </w:p>
    <w:p w:rsidR="00DA3382" w:rsidRPr="00F52DC8" w:rsidRDefault="00DA3382" w:rsidP="00DA3382">
      <w:pPr>
        <w:jc w:val="both"/>
        <w:rPr>
          <w:sz w:val="20"/>
          <w:szCs w:val="20"/>
        </w:rPr>
      </w:pPr>
      <w:r w:rsidRPr="00F52DC8">
        <w:rPr>
          <w:rFonts w:ascii="Arial" w:hAnsi="Arial" w:cs="Arial"/>
          <w:sz w:val="20"/>
          <w:szCs w:val="20"/>
        </w:rPr>
        <w:t xml:space="preserve">Más información: </w:t>
      </w:r>
      <w:hyperlink r:id="rId10" w:history="1">
        <w:r w:rsidRPr="00F52DC8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DA3382" w:rsidRPr="00162CC1" w:rsidRDefault="00DA3382">
      <w:pPr>
        <w:jc w:val="both"/>
        <w:rPr>
          <w:rFonts w:cs="Arial"/>
          <w:b/>
          <w:bCs/>
          <w:sz w:val="20"/>
        </w:rPr>
      </w:pPr>
    </w:p>
    <w:sectPr w:rsidR="00DA3382" w:rsidRPr="00162CC1">
      <w:headerReference w:type="default" r:id="rId11"/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03" w:rsidRDefault="00703503" w:rsidP="00642AFC">
      <w:r>
        <w:separator/>
      </w:r>
    </w:p>
  </w:endnote>
  <w:endnote w:type="continuationSeparator" w:id="0">
    <w:p w:rsidR="00703503" w:rsidRDefault="00703503" w:rsidP="006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tisSansSerif">
    <w:altName w:val="RotisSansSerif"/>
    <w:charset w:val="00"/>
    <w:family w:val="roman"/>
    <w:pitch w:val="default"/>
  </w:font>
  <w:font w:name="Glasgow Pro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03" w:rsidRDefault="00703503" w:rsidP="00642AFC">
      <w:r>
        <w:separator/>
      </w:r>
    </w:p>
  </w:footnote>
  <w:footnote w:type="continuationSeparator" w:id="0">
    <w:p w:rsidR="00703503" w:rsidRDefault="00703503" w:rsidP="0064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C" w:rsidRPr="00642AFC" w:rsidRDefault="00642AFC" w:rsidP="00642AFC">
    <w:pPr>
      <w:pStyle w:val="Encabezado"/>
      <w:tabs>
        <w:tab w:val="clear" w:pos="4252"/>
        <w:tab w:val="clear" w:pos="8504"/>
        <w:tab w:val="left" w:pos="7721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225140E7"/>
    <w:multiLevelType w:val="hybridMultilevel"/>
    <w:tmpl w:val="C4301B2C"/>
    <w:lvl w:ilvl="0" w:tplc="A00E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F4999"/>
    <w:multiLevelType w:val="hybridMultilevel"/>
    <w:tmpl w:val="4656DEE2"/>
    <w:lvl w:ilvl="0" w:tplc="A9E06A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0"/>
    <w:rsid w:val="00000647"/>
    <w:rsid w:val="00006EDD"/>
    <w:rsid w:val="00011C43"/>
    <w:rsid w:val="00012CED"/>
    <w:rsid w:val="00043337"/>
    <w:rsid w:val="00056EF0"/>
    <w:rsid w:val="000734D4"/>
    <w:rsid w:val="0009218F"/>
    <w:rsid w:val="000A6440"/>
    <w:rsid w:val="000C7C92"/>
    <w:rsid w:val="000F1D4B"/>
    <w:rsid w:val="0011542F"/>
    <w:rsid w:val="00136629"/>
    <w:rsid w:val="001473D0"/>
    <w:rsid w:val="00154572"/>
    <w:rsid w:val="00162CC1"/>
    <w:rsid w:val="001825E7"/>
    <w:rsid w:val="001B46B5"/>
    <w:rsid w:val="001B737E"/>
    <w:rsid w:val="001D7A13"/>
    <w:rsid w:val="002003F5"/>
    <w:rsid w:val="00206C7F"/>
    <w:rsid w:val="002220FC"/>
    <w:rsid w:val="00223D7D"/>
    <w:rsid w:val="002273B1"/>
    <w:rsid w:val="002467EA"/>
    <w:rsid w:val="00255321"/>
    <w:rsid w:val="002875AC"/>
    <w:rsid w:val="00290B96"/>
    <w:rsid w:val="002A1B2C"/>
    <w:rsid w:val="002D55F7"/>
    <w:rsid w:val="002E12E7"/>
    <w:rsid w:val="002E5227"/>
    <w:rsid w:val="00302621"/>
    <w:rsid w:val="00303D27"/>
    <w:rsid w:val="00307363"/>
    <w:rsid w:val="00320372"/>
    <w:rsid w:val="00370CD3"/>
    <w:rsid w:val="00376595"/>
    <w:rsid w:val="003824B8"/>
    <w:rsid w:val="003C3F2E"/>
    <w:rsid w:val="003E775E"/>
    <w:rsid w:val="003F4C66"/>
    <w:rsid w:val="00402601"/>
    <w:rsid w:val="0040581F"/>
    <w:rsid w:val="00460FEB"/>
    <w:rsid w:val="0046124A"/>
    <w:rsid w:val="0048327B"/>
    <w:rsid w:val="004B2CB6"/>
    <w:rsid w:val="00501DAA"/>
    <w:rsid w:val="0053730E"/>
    <w:rsid w:val="00542F8B"/>
    <w:rsid w:val="00544507"/>
    <w:rsid w:val="00560981"/>
    <w:rsid w:val="00582148"/>
    <w:rsid w:val="00582573"/>
    <w:rsid w:val="005C65BE"/>
    <w:rsid w:val="005D61A0"/>
    <w:rsid w:val="005F1B21"/>
    <w:rsid w:val="0060145B"/>
    <w:rsid w:val="006245F5"/>
    <w:rsid w:val="00642AFC"/>
    <w:rsid w:val="00645797"/>
    <w:rsid w:val="006A15FC"/>
    <w:rsid w:val="006B053F"/>
    <w:rsid w:val="006C118A"/>
    <w:rsid w:val="006F31E8"/>
    <w:rsid w:val="006F4D37"/>
    <w:rsid w:val="00703503"/>
    <w:rsid w:val="00703A61"/>
    <w:rsid w:val="00752457"/>
    <w:rsid w:val="00774E47"/>
    <w:rsid w:val="007800F0"/>
    <w:rsid w:val="00796405"/>
    <w:rsid w:val="007D53DE"/>
    <w:rsid w:val="00822C6F"/>
    <w:rsid w:val="00822E6E"/>
    <w:rsid w:val="00822F84"/>
    <w:rsid w:val="00864B4D"/>
    <w:rsid w:val="008675A0"/>
    <w:rsid w:val="00871F92"/>
    <w:rsid w:val="00880F2C"/>
    <w:rsid w:val="008A7352"/>
    <w:rsid w:val="008F261B"/>
    <w:rsid w:val="009326B1"/>
    <w:rsid w:val="00965541"/>
    <w:rsid w:val="009775F5"/>
    <w:rsid w:val="0098675B"/>
    <w:rsid w:val="009E5304"/>
    <w:rsid w:val="009F0976"/>
    <w:rsid w:val="00A06A9A"/>
    <w:rsid w:val="00A227A6"/>
    <w:rsid w:val="00A53C02"/>
    <w:rsid w:val="00AB34AC"/>
    <w:rsid w:val="00AC6317"/>
    <w:rsid w:val="00AD75C2"/>
    <w:rsid w:val="00B16EE2"/>
    <w:rsid w:val="00B7531A"/>
    <w:rsid w:val="00BB4788"/>
    <w:rsid w:val="00BD0E4F"/>
    <w:rsid w:val="00C42287"/>
    <w:rsid w:val="00C733B3"/>
    <w:rsid w:val="00C81D28"/>
    <w:rsid w:val="00C9459D"/>
    <w:rsid w:val="00CC02E7"/>
    <w:rsid w:val="00CC797E"/>
    <w:rsid w:val="00CF3951"/>
    <w:rsid w:val="00D22B0F"/>
    <w:rsid w:val="00D3543F"/>
    <w:rsid w:val="00D41C54"/>
    <w:rsid w:val="00D43790"/>
    <w:rsid w:val="00DA3382"/>
    <w:rsid w:val="00DD3510"/>
    <w:rsid w:val="00DE1E1C"/>
    <w:rsid w:val="00DE676E"/>
    <w:rsid w:val="00DF3E6B"/>
    <w:rsid w:val="00E26BAE"/>
    <w:rsid w:val="00E36D5A"/>
    <w:rsid w:val="00E61AB3"/>
    <w:rsid w:val="00E70E79"/>
    <w:rsid w:val="00EC274A"/>
    <w:rsid w:val="00F04A50"/>
    <w:rsid w:val="00F358E7"/>
    <w:rsid w:val="00F52DC8"/>
    <w:rsid w:val="00F77E7D"/>
    <w:rsid w:val="00F95D60"/>
    <w:rsid w:val="00FA0B7E"/>
    <w:rsid w:val="00F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C8B17C7-4876-4271-A574-C02902D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5z0">
    <w:name w:val="WW8Num15z0"/>
    <w:rPr>
      <w:rFonts w:ascii="Arial" w:eastAsia="Times New Roman" w:hAnsi="Aria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3z0">
    <w:name w:val="WW8Num23z0"/>
    <w:rPr>
      <w:rFonts w:ascii="Arial" w:eastAsia="Calibri" w:hAnsi="Aria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uiPriority w:val="99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/>
      <w:noProof/>
      <w:color w:val="000000"/>
      <w:sz w:val="22"/>
      <w:lang w:val="es-ES_tradnl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noProof/>
      <w:color w:val="000000"/>
      <w:sz w:val="24"/>
      <w:szCs w:val="24"/>
      <w:lang w:val="es-ES_tradnl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noProof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3824B8"/>
    <w:pPr>
      <w:ind w:left="708"/>
    </w:pPr>
  </w:style>
  <w:style w:type="paragraph" w:customStyle="1" w:styleId="tmarron">
    <w:name w:val="tmarron"/>
    <w:basedOn w:val="Normal"/>
    <w:rsid w:val="00162CC1"/>
    <w:pPr>
      <w:suppressAutoHyphens w:val="0"/>
      <w:spacing w:before="100" w:beforeAutospacing="1" w:after="100" w:afterAutospacing="1"/>
    </w:pPr>
    <w:rPr>
      <w:lang w:val="es-ES"/>
    </w:rPr>
  </w:style>
  <w:style w:type="character" w:customStyle="1" w:styleId="UnresolvedMention">
    <w:name w:val="Unresolved Mention"/>
    <w:uiPriority w:val="99"/>
    <w:semiHidden/>
    <w:unhideWhenUsed/>
    <w:rsid w:val="00C733B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E12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2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2E7"/>
    <w:rPr>
      <w:noProof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2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2E7"/>
    <w:rPr>
      <w:b/>
      <w:bCs/>
      <w:noProof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99F27-DF3F-4E95-B3C6-99E53D032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0CB3D-55A9-4127-BDA4-74CB625976A2}"/>
</file>

<file path=customXml/itemProps3.xml><?xml version="1.0" encoding="utf-8"?>
<ds:datastoreItem xmlns:ds="http://schemas.openxmlformats.org/officeDocument/2006/customXml" ds:itemID="{D54B6D54-93B0-40C0-BF84-CB0409966931}"/>
</file>

<file path=customXml/itemProps4.xml><?xml version="1.0" encoding="utf-8"?>
<ds:datastoreItem xmlns:ds="http://schemas.openxmlformats.org/officeDocument/2006/customXml" ds:itemID="{672D9E1D-3C2B-4F0D-8FC6-B37F8F8CC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7341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Eloisa Martin de Faria</cp:lastModifiedBy>
  <cp:revision>2</cp:revision>
  <cp:lastPrinted>2019-04-23T10:37:00Z</cp:lastPrinted>
  <dcterms:created xsi:type="dcterms:W3CDTF">2019-04-24T08:09:00Z</dcterms:created>
  <dcterms:modified xsi:type="dcterms:W3CDTF">2019-04-24T08:09:00Z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